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3E" w:rsidRDefault="005D033E" w:rsidP="005D033E">
      <w:pPr>
        <w:jc w:val="center"/>
        <w:rPr>
          <w:b/>
        </w:rPr>
      </w:pPr>
      <w:r>
        <w:rPr>
          <w:b/>
        </w:rPr>
        <w:t>Duna-Ipoly Nemzeti Park Igazgatóság</w:t>
      </w:r>
    </w:p>
    <w:p w:rsidR="005D033E" w:rsidRDefault="005D033E" w:rsidP="005D033E">
      <w:pPr>
        <w:jc w:val="center"/>
        <w:rPr>
          <w:b/>
        </w:rPr>
      </w:pPr>
      <w:r>
        <w:rPr>
          <w:b/>
        </w:rPr>
        <w:t>Keve András Madártani és Természetvédelmi Szakkönyvtár (továbbiakban: Könyvtár)</w:t>
      </w:r>
    </w:p>
    <w:p w:rsidR="005D033E" w:rsidRDefault="005D033E" w:rsidP="005D033E">
      <w:pPr>
        <w:jc w:val="center"/>
        <w:rPr>
          <w:b/>
        </w:rPr>
      </w:pPr>
      <w:proofErr w:type="gramStart"/>
      <w:r>
        <w:rPr>
          <w:b/>
        </w:rPr>
        <w:t>használatához</w:t>
      </w:r>
      <w:proofErr w:type="gramEnd"/>
      <w:r>
        <w:rPr>
          <w:b/>
        </w:rPr>
        <w:t xml:space="preserve"> kapcsolódó adatkezelési tájékoztató</w:t>
      </w:r>
    </w:p>
    <w:p w:rsidR="005D033E" w:rsidRDefault="005D033E" w:rsidP="005D033E">
      <w:pPr>
        <w:jc w:val="center"/>
        <w:rPr>
          <w:b/>
        </w:rPr>
      </w:pPr>
    </w:p>
    <w:p w:rsidR="005D033E" w:rsidRDefault="005D033E" w:rsidP="005D033E">
      <w:pPr>
        <w:jc w:val="center"/>
        <w:rPr>
          <w:b/>
        </w:rPr>
      </w:pPr>
    </w:p>
    <w:p w:rsidR="005D033E" w:rsidRDefault="005D033E" w:rsidP="005D033E">
      <w:pPr>
        <w:pStyle w:val="AlaprtelmezettA"/>
        <w:numPr>
          <w:ilvl w:val="0"/>
          <w:numId w:val="1"/>
        </w:numPr>
        <w:spacing w:before="0" w:after="0" w:line="240" w:lineRule="auto"/>
        <w:jc w:val="both"/>
        <w:rPr>
          <w:rFonts w:ascii="Times New Roman" w:hAnsi="Times New Roman" w:cs="Times New Roman"/>
          <w:b/>
          <w:lang w:val="hu-HU"/>
        </w:rPr>
      </w:pPr>
      <w:r>
        <w:rPr>
          <w:rStyle w:val="Egyiksem"/>
          <w:b/>
          <w:bCs/>
          <w:lang w:val="hu-HU"/>
        </w:rPr>
        <w:t>Általános rendelkezések és elérhetőségek</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Pr>
      </w:pPr>
    </w:p>
    <w:p w:rsidR="005D033E" w:rsidRDefault="005D033E" w:rsidP="005D033E">
      <w:pPr>
        <w:pStyle w:val="AlaprtelmezettA"/>
        <w:tabs>
          <w:tab w:val="left" w:pos="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lang w:val="hu-HU"/>
        </w:rPr>
      </w:pPr>
      <w:r>
        <w:rPr>
          <w:rStyle w:val="Egyiksem"/>
          <w:lang w:val="hu-HU"/>
        </w:rPr>
        <w:t xml:space="preserve">1.1. </w:t>
      </w:r>
      <w:proofErr w:type="gramStart"/>
      <w:r>
        <w:rPr>
          <w:rStyle w:val="Egyiksem"/>
          <w:lang w:val="hu-HU"/>
        </w:rPr>
        <w:t>A</w:t>
      </w:r>
      <w:r>
        <w:rPr>
          <w:rStyle w:val="Egyiksem"/>
          <w:noProof/>
          <w:lang w:val="hu-HU"/>
        </w:rPr>
        <w:t xml:space="preserve"> Duna-Ipoly Nemzeti Park Igazgatóság, mint adatkezelő (a továbbiakban: Adatkezelő, vagy Igazgatóság)</w:t>
      </w:r>
      <w:r>
        <w:rPr>
          <w:rStyle w:val="Egyiksem"/>
          <w:lang w:val="hu-HU"/>
        </w:rPr>
        <w:t xml:space="preserve"> </w:t>
      </w:r>
      <w:r>
        <w:rPr>
          <w:rStyle w:val="Egyiksem"/>
          <w:noProof/>
          <w:lang w:val="hu-HU"/>
        </w:rPr>
        <w:t xml:space="preserve">kiemelt figyelmet fordít arra, hogy a vagyonkezelésében álló, nem nyilvános Könyvtár működése során </w:t>
      </w:r>
      <w:r>
        <w:rPr>
          <w:rStyle w:val="Egyiksem"/>
          <w:lang w:val="hu-HU"/>
        </w:rPr>
        <w:t>a könyvtárhasználóktól származó személyes adatokat</w:t>
      </w:r>
      <w:r>
        <w:rPr>
          <w:rStyle w:val="Egyiksem"/>
          <w:noProof/>
          <w:lang w:val="hu-HU"/>
        </w:rPr>
        <w:t xml:space="preserve"> a természetes személyeknek a személyes adatok kezelése tekintetében történő védelméről és az ilyen adatok szabad áramlásáról, valamint a 95/46/EK rendelet hatályon kívül helyezéséről (általános adatvédelmi rendelet) szóló, az Európai Parlament és a Tanács 2016/679. számú Adatvédelmi Rendeletének (a továbbiakban: Rendelet) a szabályai és előírásai,</w:t>
      </w:r>
      <w:proofErr w:type="gramEnd"/>
      <w:r>
        <w:rPr>
          <w:rStyle w:val="Egyiksem"/>
          <w:noProof/>
          <w:lang w:val="hu-HU"/>
        </w:rPr>
        <w:t xml:space="preserve"> valamint az információs önrendelkezési jogról és az információszabadságról szóló 2011. évi CXII. törvény (a továbbiakban: Infotv.) rendelkezései szerint kezelje, tárolja és használja</w:t>
      </w:r>
      <w:r>
        <w:rPr>
          <w:rStyle w:val="Egyiksem"/>
          <w:lang w:val="hu-HU"/>
        </w:rPr>
        <w:t xml:space="preserve"> fel.</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lang w:val="hu-HU"/>
        </w:rPr>
      </w:pPr>
      <w:r>
        <w:rPr>
          <w:rStyle w:val="Egyiksem"/>
          <w:lang w:val="hu-HU"/>
        </w:rPr>
        <w:t xml:space="preserve">Az Adatkezelő a személyes adatokat bizalmasan, a hatályos jogszabályoknak megfelelően kezeli, gondoskodik azok integritásáról és biztonságáról, megteszi a szükséges technikai és szervezési intézkedéseket, valamint kialakítja a célok eléréséhez szükséges eljárási szabályokat. </w:t>
      </w:r>
    </w:p>
    <w:p w:rsidR="005D033E" w:rsidRDefault="005D033E" w:rsidP="005D033E">
      <w:pPr>
        <w:jc w:val="center"/>
        <w:rPr>
          <w:b/>
        </w:rPr>
      </w:pPr>
    </w:p>
    <w:p w:rsidR="005D033E" w:rsidRDefault="005D033E" w:rsidP="005D0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eastAsia="Arial Unicode MS"/>
          <w:noProof/>
          <w:bdr w:val="none" w:sz="0" w:space="0" w:color="auto" w:frame="1"/>
        </w:rPr>
      </w:pPr>
      <w:r>
        <w:rPr>
          <w:rFonts w:eastAsia="Arial Unicode MS"/>
          <w:noProof/>
          <w:bdr w:val="none" w:sz="0" w:space="0" w:color="auto" w:frame="1"/>
        </w:rPr>
        <w:t xml:space="preserve">Az Adatkezelő ezúton tájékoztatja az Könyvtárat használó természetes személyeket (a továbbiakban: Érintettek) a Könyvtár működésével kapcsolatos adatok kezelésével összefüggésben, az olvasói beiratkozással összefüggésben kezelt személyes adatokról, azok  kezelése körében követett gyakorlatáról, a személyes adatok védelme érdekében tett intézkedéseiről, valamint az Érintettek jogai gyakorlásának mójáról és lehetőségeiről. </w:t>
      </w:r>
    </w:p>
    <w:p w:rsidR="005D033E" w:rsidRDefault="005D033E" w:rsidP="005D0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eastAsia="Arial Unicode MS"/>
          <w:color w:val="000000"/>
          <w:bdr w:val="none" w:sz="0" w:space="0" w:color="auto" w:frame="1"/>
        </w:rPr>
      </w:pPr>
    </w:p>
    <w:p w:rsidR="005D033E" w:rsidRDefault="005D033E" w:rsidP="005D0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eastAsia="Arial Unicode MS"/>
          <w:color w:val="000000"/>
          <w:bdr w:val="none" w:sz="0" w:space="0" w:color="auto" w:frame="1"/>
        </w:rPr>
      </w:pPr>
      <w:r>
        <w:rPr>
          <w:rFonts w:eastAsia="Arial Unicode MS"/>
          <w:color w:val="000000"/>
          <w:bdr w:val="none" w:sz="0" w:space="0" w:color="auto" w:frame="1"/>
        </w:rPr>
        <w:t xml:space="preserve">A Rendelet szerinti adatkezelési tájékoztatást az Igazgatóság jelen Adatkezelési Tájékoztató (a továbbiakban: Tájékoztató) megalkotásával és annak, az Érintettek számára történő hozzáférhetővé tételével teljesíti. A Tájékoztató az Igazgatóság Adatvédelmi és Adatbiztonsági Szabályzata, továbbá az Igazgatóság Könyvtárhasználati Szabályzata alapján készült, fogalmai megegyeznek a Rendeletben meghatározott fogalmakkal. Amikor jelen Tájékoztató adatokról, vagy adatkezelésről rendelkezik, azon személyes adatokat, illetve ezek kezelését kell érteni.  </w:t>
      </w:r>
    </w:p>
    <w:p w:rsidR="005D033E" w:rsidRDefault="005D033E" w:rsidP="005D033E">
      <w:pPr>
        <w:jc w:val="center"/>
        <w:rPr>
          <w:b/>
        </w:rPr>
      </w:pPr>
    </w:p>
    <w:p w:rsidR="005D033E" w:rsidRDefault="005D033E" w:rsidP="005D033E">
      <w:pPr>
        <w:jc w:val="both"/>
      </w:pPr>
      <w:r>
        <w:t>1.2. Adatkezelő: Duna-Ipoly Nemzeti Park Igazgatóság (a továbbiakban: Igazgatóság)</w:t>
      </w:r>
    </w:p>
    <w:p w:rsidR="005D033E" w:rsidRDefault="005D033E" w:rsidP="005D033E">
      <w:pPr>
        <w:jc w:val="both"/>
      </w:pPr>
      <w:r>
        <w:t>Adatkezelő képviselője: Füri András, igazgató</w:t>
      </w:r>
    </w:p>
    <w:p w:rsidR="005D033E" w:rsidRDefault="005D033E" w:rsidP="005D033E">
      <w:pPr>
        <w:jc w:val="both"/>
      </w:pPr>
      <w:r>
        <w:t>Adatkezelő elérhetőségei:</w:t>
      </w:r>
    </w:p>
    <w:p w:rsidR="005D033E" w:rsidRDefault="005D033E" w:rsidP="005D033E">
      <w:pPr>
        <w:jc w:val="both"/>
      </w:pPr>
      <w:r>
        <w:t>Székhely: 2509 Esztergom, Strázsa-hegy</w:t>
      </w:r>
    </w:p>
    <w:p w:rsidR="005D033E" w:rsidRDefault="005D033E" w:rsidP="005D033E">
      <w:pPr>
        <w:jc w:val="both"/>
      </w:pPr>
      <w:r>
        <w:t>Ügyfélfogadási iroda: 1121 Budapest, Költő u. 21.</w:t>
      </w:r>
    </w:p>
    <w:p w:rsidR="005D033E" w:rsidRDefault="005D033E" w:rsidP="005D033E">
      <w:pPr>
        <w:jc w:val="both"/>
      </w:pPr>
      <w:r>
        <w:t>Postacím: 1525 Budapest, Pf.: 86.</w:t>
      </w:r>
    </w:p>
    <w:p w:rsidR="005D033E" w:rsidRDefault="005D033E" w:rsidP="005D033E">
      <w:pPr>
        <w:jc w:val="both"/>
      </w:pPr>
      <w:r>
        <w:t>Hivatali Kapu cím: DINPI</w:t>
      </w:r>
    </w:p>
    <w:p w:rsidR="005D033E" w:rsidRDefault="005D033E" w:rsidP="005D033E">
      <w:pPr>
        <w:jc w:val="both"/>
      </w:pPr>
      <w:r>
        <w:t>E-mail cím: dinpi@dinpi.hu</w:t>
      </w:r>
    </w:p>
    <w:p w:rsidR="005D033E" w:rsidRDefault="005D033E" w:rsidP="005D033E">
      <w:pPr>
        <w:jc w:val="both"/>
      </w:pPr>
      <w:r>
        <w:t>Telefon: 06-1/391-4610</w:t>
      </w:r>
    </w:p>
    <w:p w:rsidR="005D033E" w:rsidRDefault="005D033E" w:rsidP="005D033E">
      <w:pPr>
        <w:jc w:val="both"/>
      </w:pPr>
      <w:r>
        <w:t>Fax: 06-1/200-1168</w:t>
      </w:r>
    </w:p>
    <w:p w:rsidR="005D033E" w:rsidRDefault="005D033E" w:rsidP="005D033E">
      <w:pPr>
        <w:jc w:val="both"/>
      </w:pPr>
      <w:r>
        <w:t>Honlap: www.dunaipoly.hu</w:t>
      </w:r>
    </w:p>
    <w:p w:rsidR="005D033E" w:rsidRDefault="005D033E" w:rsidP="005D033E">
      <w:pPr>
        <w:jc w:val="both"/>
      </w:pPr>
      <w:r>
        <w:t xml:space="preserve">Az adatvédelmi tisztségviselő elérhetőségei: </w:t>
      </w:r>
      <w:hyperlink r:id="rId5" w:history="1">
        <w:r>
          <w:rPr>
            <w:rStyle w:val="Hiperhivatkozs"/>
          </w:rPr>
          <w:t>konyag@dinpi.hu</w:t>
        </w:r>
      </w:hyperlink>
    </w:p>
    <w:p w:rsidR="005D033E" w:rsidRDefault="005D033E" w:rsidP="005D033E">
      <w:pPr>
        <w:jc w:val="both"/>
      </w:pPr>
    </w:p>
    <w:p w:rsidR="005D033E" w:rsidRDefault="005D033E" w:rsidP="005D033E">
      <w:pPr>
        <w:jc w:val="both"/>
      </w:pPr>
    </w:p>
    <w:p w:rsidR="005D033E" w:rsidRDefault="005D033E" w:rsidP="005D033E">
      <w:pPr>
        <w:pStyle w:val="Listaszerbekezds"/>
        <w:numPr>
          <w:ilvl w:val="0"/>
          <w:numId w:val="1"/>
        </w:numPr>
        <w:spacing w:line="256" w:lineRule="auto"/>
        <w:ind w:left="0" w:firstLine="0"/>
        <w:rPr>
          <w:b/>
        </w:rPr>
      </w:pPr>
      <w:r>
        <w:rPr>
          <w:b/>
        </w:rPr>
        <w:t>A Könyvtár használatához kapcsolódó adatkezelés</w:t>
      </w:r>
    </w:p>
    <w:p w:rsidR="005D033E" w:rsidRDefault="005D033E" w:rsidP="005D033E">
      <w:pPr>
        <w:pStyle w:val="Listaszerbekezds"/>
        <w:ind w:left="0"/>
        <w:rPr>
          <w:b/>
        </w:rPr>
      </w:pPr>
    </w:p>
    <w:p w:rsidR="005D033E" w:rsidRDefault="005D033E" w:rsidP="005D033E">
      <w:pPr>
        <w:pStyle w:val="Listaszerbekezd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56" w:lineRule="auto"/>
        <w:ind w:left="0" w:firstLine="0"/>
        <w:rPr>
          <w:b/>
        </w:rPr>
      </w:pPr>
      <w:r>
        <w:rPr>
          <w:b/>
        </w:rPr>
        <w:lastRenderedPageBreak/>
        <w:t xml:space="preserve"> Az adatkezelés céljai</w:t>
      </w:r>
    </w:p>
    <w:p w:rsidR="005D033E" w:rsidRDefault="005D033E" w:rsidP="005D033E">
      <w:pPr>
        <w:jc w:val="both"/>
      </w:pPr>
    </w:p>
    <w:p w:rsidR="005D033E" w:rsidRDefault="005D033E" w:rsidP="005D033E">
      <w:pPr>
        <w:jc w:val="both"/>
      </w:pPr>
      <w:r>
        <w:t>A Könyvtár az Igazgatóság vagyonkezelésébe tartozó nem nyilvános szakkönyvtár. Az Igazgatóság a Könyvtárba való beiratkozás során kért adatokat az olvasói nyilvántartás vezetése érdekében kezeli. Az adatok kezelésének célja az Érintettek könyvtárhasználatának biztosítása.</w:t>
      </w:r>
    </w:p>
    <w:p w:rsidR="005D033E" w:rsidRDefault="005D033E" w:rsidP="005D033E">
      <w:pPr>
        <w:jc w:val="both"/>
      </w:pPr>
    </w:p>
    <w:p w:rsidR="005D033E" w:rsidRDefault="005D033E" w:rsidP="005D033E">
      <w:pPr>
        <w:jc w:val="both"/>
      </w:pPr>
      <w:r>
        <w:t>Az adatkezelés célja továbbá az Igazgatóság által kiállított számlák őrzése a jogszabályi kötelezettségeknek megfelelően.</w:t>
      </w:r>
    </w:p>
    <w:p w:rsidR="005D033E" w:rsidRDefault="005D033E" w:rsidP="005D033E">
      <w:pPr>
        <w:jc w:val="both"/>
      </w:pPr>
    </w:p>
    <w:p w:rsidR="005D033E" w:rsidRDefault="005D033E" w:rsidP="005D033E">
      <w:pPr>
        <w:pStyle w:val="Listaszerbekezd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56" w:lineRule="auto"/>
        <w:ind w:left="0" w:firstLine="0"/>
        <w:rPr>
          <w:b/>
        </w:rPr>
      </w:pPr>
      <w:r>
        <w:rPr>
          <w:b/>
        </w:rPr>
        <w:t xml:space="preserve"> Az adatkezelés jogalapja és általános elvei</w:t>
      </w:r>
    </w:p>
    <w:p w:rsidR="005D033E" w:rsidRDefault="005D033E" w:rsidP="005D033E">
      <w:pPr>
        <w:jc w:val="both"/>
        <w:rPr>
          <w:rStyle w:val="Egyiksem"/>
          <w:noProof/>
        </w:rPr>
      </w:pPr>
    </w:p>
    <w:p w:rsidR="005D033E" w:rsidRDefault="005D033E" w:rsidP="005D033E">
      <w:pPr>
        <w:jc w:val="both"/>
        <w:rPr>
          <w:rStyle w:val="Egyiksem"/>
          <w:noProof/>
        </w:rPr>
      </w:pPr>
      <w:r>
        <w:rPr>
          <w:rStyle w:val="Egyiksem"/>
          <w:noProof/>
        </w:rPr>
        <w:t>Az Érintetteknek a vonatkozó személyes adatokat minden esetben az irányadó jogszabályokkal összhangban kell, hogy az Igazgatóság rendelkezésére bízzák. Így különösen megfelelő és tájékozott hozzájárulással vagy egyéb jogalappal kell rendelkezzenek a személyes adatok átadására. Az Igazgatóság nem felelős az Érintettek fenti kötelezettségvállalásának, valamint kijelentésének megszegéséből esetlegesen származó károkért, veszteségért vagy sérelemért.</w:t>
      </w:r>
    </w:p>
    <w:p w:rsidR="005D033E" w:rsidRDefault="005D033E" w:rsidP="005D033E">
      <w:pPr>
        <w:pStyle w:val="Listaszerbekezds"/>
        <w:ind w:left="0"/>
        <w:jc w:val="both"/>
      </w:pPr>
    </w:p>
    <w:p w:rsidR="005D033E" w:rsidRDefault="005D033E" w:rsidP="005D033E">
      <w:pPr>
        <w:pStyle w:val="Listaszerbekezds"/>
        <w:ind w:left="0"/>
        <w:jc w:val="both"/>
      </w:pPr>
      <w:r>
        <w:t>A személyes beiratkozás során a személyes adatok gyűjtése – a Rendelet 6. cikk (1) bekezdés e) pontja szerinti jogalapra (közérdekű jogosítvány gyakorlásának keretében végzett feladat végrehajtása) figyelemmel – a muzeális intézményekről, a nyilvános könyvtári ellátásról és a közművelődésről szóló 1997. évi CXL. törvény 57. §-</w:t>
      </w:r>
      <w:proofErr w:type="gramStart"/>
      <w:r>
        <w:t>a</w:t>
      </w:r>
      <w:proofErr w:type="gramEnd"/>
      <w:r>
        <w:t xml:space="preserve"> alapján történik. </w:t>
      </w:r>
    </w:p>
    <w:p w:rsidR="005D033E" w:rsidRDefault="005D033E" w:rsidP="005D033E">
      <w:pPr>
        <w:pStyle w:val="Listaszerbekezds"/>
        <w:ind w:left="0"/>
        <w:jc w:val="both"/>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ascii="Times New Roman" w:eastAsia="Times New Roman" w:hAnsi="Times New Roman" w:cs="Times New Roman"/>
          <w:bCs/>
          <w:noProof/>
          <w:lang w:val="hu-HU"/>
        </w:rPr>
      </w:pPr>
      <w:r>
        <w:rPr>
          <w:rStyle w:val="Egyiksem"/>
          <w:bCs/>
          <w:noProof/>
          <w:lang w:val="hu-HU"/>
        </w:rPr>
        <w:t>A beiratkozás során kiállított számlákkal összefüggő adatkezelés jogalapja a</w:t>
      </w:r>
      <w:r>
        <w:rPr>
          <w:rStyle w:val="Egyiksem"/>
          <w:noProof/>
          <w:lang w:val="hu-HU"/>
        </w:rPr>
        <w:t xml:space="preserve"> Rendelet 6. cikk (1) bekezdésének c) pontja alapján az Adatkezelő jogi kötelezettségének teljesítése</w:t>
      </w:r>
      <w:r>
        <w:rPr>
          <w:rStyle w:val="Egyiksem"/>
          <w:bCs/>
          <w:noProof/>
          <w:lang w:val="hu-HU"/>
        </w:rPr>
        <w:t xml:space="preserve">. </w:t>
      </w:r>
    </w:p>
    <w:p w:rsidR="005D033E" w:rsidRDefault="005D033E" w:rsidP="005D033E">
      <w:pPr>
        <w:jc w:val="both"/>
        <w:rPr>
          <w:rStyle w:val="Egyiksem"/>
          <w:noProof/>
        </w:rPr>
      </w:pPr>
      <w:r>
        <w:rPr>
          <w:rStyle w:val="Egyiksem"/>
          <w:noProof/>
        </w:rPr>
        <w:t>A kiállított számla(k) vonatkozásában az irányadó jogszabályok előírásainak megfelelően az Igazgatóság – abból a célból, hogy eleget tegyen az általános forgalmi adóról szóló 2007. évi CXXVII. törvény 159. § (1) bekezdésében foglalt kötelezettségnek, mely szerint az adóalany (jelen esetben az Igazgatóság) köteles a szolgáltatás nyújtásáról, a szolgáltatás igénybevevője részére számla kibocsátásáról gondoskodni, valamint, hogy eleget tegyen a számvitelről szóló 2000. évi C. törvény 168 §, illetve a 169. § (2) bekezdésében foglalt kötelezettségének, mely szerint a könyvviteli elszámolást közvetlenül és közvetetten alátámasztó számviteli bizonylatot meg kell őriznie – kezeli az általa kiállított számlákon szereplő személyes adatokat.</w:t>
      </w:r>
    </w:p>
    <w:p w:rsidR="005D033E" w:rsidRDefault="005D033E" w:rsidP="005D033E">
      <w:pPr>
        <w:pStyle w:val="Listaszerbekezds"/>
        <w:ind w:left="0"/>
        <w:jc w:val="both"/>
      </w:pPr>
    </w:p>
    <w:p w:rsidR="005D033E" w:rsidRDefault="005D033E" w:rsidP="005D033E">
      <w:pPr>
        <w:jc w:val="both"/>
        <w:rPr>
          <w:rStyle w:val="Egyiksem"/>
          <w:rFonts w:eastAsia="Times Roman"/>
          <w:shd w:val="clear" w:color="auto" w:fill="FFFFFF"/>
        </w:rPr>
      </w:pPr>
      <w:r>
        <w:rPr>
          <w:rStyle w:val="Egyiksem"/>
          <w:bCs/>
          <w:noProof/>
        </w:rPr>
        <w:t>A beiratkozás során, a k</w:t>
      </w:r>
      <w:r>
        <w:rPr>
          <w:noProof/>
        </w:rPr>
        <w:t>ülönböző</w:t>
      </w:r>
      <w:r>
        <w:t xml:space="preserve"> szolgáltatások igénybevételéhez és a kapcsolattartás könnyítése érdekében az Érintett egyéb elérhetőségi adatokat (e-mail, telefonszám) is megadhat. Ez utóbbiak megadása nem kötelező, az a </w:t>
      </w:r>
      <w:r>
        <w:rPr>
          <w:rStyle w:val="Egyiksem"/>
        </w:rPr>
        <w:t>Rendelet</w:t>
      </w:r>
      <w:r>
        <w:rPr>
          <w:rStyle w:val="Egyiksem"/>
          <w:b/>
          <w:bCs/>
        </w:rPr>
        <w:t xml:space="preserve"> </w:t>
      </w:r>
      <w:r>
        <w:rPr>
          <w:rStyle w:val="Egyiksem"/>
        </w:rPr>
        <w:t>6. cikk (1) bekezd</w:t>
      </w:r>
      <w:r>
        <w:rPr>
          <w:rStyle w:val="Egyiksem"/>
          <w:lang w:val="fr-FR"/>
        </w:rPr>
        <w:t>é</w:t>
      </w:r>
      <w:r>
        <w:rPr>
          <w:rStyle w:val="Egyiksem"/>
        </w:rPr>
        <w:t>s</w:t>
      </w:r>
      <w:r>
        <w:rPr>
          <w:rStyle w:val="Egyiksem"/>
          <w:lang w:val="fr-FR"/>
        </w:rPr>
        <w:t>é</w:t>
      </w:r>
      <w:r>
        <w:rPr>
          <w:rStyle w:val="Egyiksem"/>
        </w:rPr>
        <w:t xml:space="preserve">nek a) pontja alapján, az </w:t>
      </w:r>
      <w:r>
        <w:rPr>
          <w:rStyle w:val="Egyiksem"/>
          <w:lang w:val="fr-FR"/>
        </w:rPr>
        <w:t>É</w:t>
      </w:r>
      <w:r>
        <w:rPr>
          <w:rStyle w:val="Egyiksem"/>
        </w:rPr>
        <w:t xml:space="preserve">rintett </w:t>
      </w:r>
      <w:r>
        <w:rPr>
          <w:rStyle w:val="Egyiksem"/>
          <w:lang w:val="sv-SE"/>
        </w:rPr>
        <w:t>ö</w:t>
      </w:r>
      <w:r>
        <w:rPr>
          <w:rStyle w:val="Egyiksem"/>
        </w:rPr>
        <w:t>nk</w:t>
      </w:r>
      <w:r>
        <w:rPr>
          <w:rStyle w:val="Egyiksem"/>
          <w:lang w:val="fr-FR"/>
        </w:rPr>
        <w:t>é</w:t>
      </w:r>
      <w:r>
        <w:rPr>
          <w:rStyle w:val="Egyiksem"/>
        </w:rPr>
        <w:t xml:space="preserve">ntes </w:t>
      </w:r>
      <w:r>
        <w:rPr>
          <w:rStyle w:val="Egyiksem"/>
          <w:noProof/>
        </w:rPr>
        <w:t>hozzájárulá</w:t>
      </w:r>
      <w:r>
        <w:rPr>
          <w:rStyle w:val="Egyiksem"/>
          <w:noProof/>
          <w:lang w:val="it-IT"/>
        </w:rPr>
        <w:t>sán</w:t>
      </w:r>
      <w:r>
        <w:rPr>
          <w:rStyle w:val="Egyiksem"/>
          <w:lang w:val="it-IT"/>
        </w:rPr>
        <w:t xml:space="preserve"> alapul. </w:t>
      </w:r>
    </w:p>
    <w:p w:rsidR="005D033E" w:rsidRDefault="005D033E" w:rsidP="005D033E">
      <w:pPr>
        <w:pStyle w:val="Listaszerbekezds"/>
        <w:ind w:left="0"/>
        <w:jc w:val="both"/>
      </w:pPr>
    </w:p>
    <w:p w:rsidR="005D033E" w:rsidRDefault="005D033E" w:rsidP="005D033E">
      <w:pPr>
        <w:pStyle w:val="Listaszerbekezd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56" w:lineRule="auto"/>
        <w:ind w:left="0" w:firstLine="0"/>
        <w:rPr>
          <w:b/>
        </w:rPr>
      </w:pPr>
      <w:r>
        <w:rPr>
          <w:b/>
        </w:rPr>
        <w:t xml:space="preserve"> A kezelt adatok köre, illetve az adatok tárolásának időtartama</w:t>
      </w:r>
    </w:p>
    <w:p w:rsidR="005D033E" w:rsidRDefault="005D033E" w:rsidP="005D033E">
      <w:pPr>
        <w:jc w:val="both"/>
      </w:pPr>
    </w:p>
    <w:p w:rsidR="005D033E" w:rsidRDefault="005D033E" w:rsidP="005D033E">
      <w:pPr>
        <w:jc w:val="both"/>
      </w:pPr>
      <w:r>
        <w:t>A könyvtárhasználói jogviszony létrejöttéhez, valamint az ahhoz kapcsolódó számla kiállításához, továbbá a könyvtári tagság meghosszabbításakor, illetve az adatok változásának bejelentésekor az Érintett családi és utóneve, születési családi és utóneve, anyja születési családi és utóneve, születési helye és ideje, állandó lakcíme megadása szükséges.</w:t>
      </w:r>
    </w:p>
    <w:p w:rsidR="005D033E" w:rsidRDefault="005D033E" w:rsidP="005D033E">
      <w:pPr>
        <w:jc w:val="both"/>
      </w:pPr>
    </w:p>
    <w:p w:rsidR="005D033E" w:rsidRDefault="005D033E" w:rsidP="005D033E">
      <w:pPr>
        <w:jc w:val="both"/>
      </w:pPr>
      <w:r>
        <w:t xml:space="preserve">A kezelt személyes adatok a könyvtári tagság legfeljebb egyéves érvényességi idejének lejártát követő 1 hónap elteltével törlésre kerülnek, amennyiben a tagsági jogviszony meghosszabbítására nem kerül sor, illetve az adatok törlése nem ütközik jogszabályi előírásba, vagy nem sérti az Igazgatóság jogos érdekét. </w:t>
      </w:r>
    </w:p>
    <w:p w:rsidR="005D033E" w:rsidRDefault="005D033E" w:rsidP="005D033E">
      <w:pPr>
        <w:jc w:val="both"/>
      </w:pPr>
    </w:p>
    <w:p w:rsidR="005D033E" w:rsidRDefault="005D033E" w:rsidP="005D033E">
      <w:pPr>
        <w:jc w:val="both"/>
      </w:pPr>
      <w:proofErr w:type="gramStart"/>
      <w:r>
        <w:lastRenderedPageBreak/>
        <w:t>A</w:t>
      </w:r>
      <w:proofErr w:type="gramEnd"/>
      <w:r>
        <w:t xml:space="preserve"> Érintett által – a különböző szolgáltatások igénybevételéhez és a kapcsolattartás könnyítése érdekében megadott elérhetőségek – közölt egyéb személyes adatok </w:t>
      </w:r>
      <w:r>
        <w:rPr>
          <w:rStyle w:val="Egyiksem"/>
        </w:rPr>
        <w:t>törlését az Érintett bármikor kérheti az Adatkezelőh</w:t>
      </w:r>
      <w:r>
        <w:rPr>
          <w:rStyle w:val="Egyiksem"/>
          <w:lang w:val="sv-SE"/>
        </w:rPr>
        <w:t>ö</w:t>
      </w:r>
      <w:r>
        <w:rPr>
          <w:rStyle w:val="Egyiksem"/>
        </w:rPr>
        <w:t>z int</w:t>
      </w:r>
      <w:r>
        <w:rPr>
          <w:rStyle w:val="Egyiksem"/>
          <w:lang w:val="fr-FR"/>
        </w:rPr>
        <w:t>é</w:t>
      </w:r>
      <w:r>
        <w:rPr>
          <w:rStyle w:val="Egyiksem"/>
        </w:rPr>
        <w:t>zett írásbeli k</w:t>
      </w:r>
      <w:r>
        <w:rPr>
          <w:rStyle w:val="Egyiksem"/>
          <w:lang w:val="fr-FR"/>
        </w:rPr>
        <w:t>é</w:t>
      </w:r>
      <w:r>
        <w:rPr>
          <w:rStyle w:val="Egyiksem"/>
        </w:rPr>
        <w:t>relm</w:t>
      </w:r>
      <w:r>
        <w:rPr>
          <w:rStyle w:val="Egyiksem"/>
          <w:lang w:val="fr-FR"/>
        </w:rPr>
        <w:t>é</w:t>
      </w:r>
      <w:r>
        <w:rPr>
          <w:rStyle w:val="Egyiksem"/>
        </w:rPr>
        <w:t>vel.</w:t>
      </w:r>
    </w:p>
    <w:p w:rsidR="005D033E" w:rsidRDefault="005D033E" w:rsidP="005D033E">
      <w:pPr>
        <w:jc w:val="both"/>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ascii="Times New Roman" w:eastAsia="Times New Roman" w:hAnsi="Times New Roman" w:cs="Times New Roman"/>
          <w:bCs/>
        </w:rPr>
      </w:pPr>
      <w:r>
        <w:rPr>
          <w:rStyle w:val="Egyiksem"/>
          <w:bCs/>
          <w:noProof/>
          <w:lang w:val="hu-HU"/>
        </w:rPr>
        <w:t xml:space="preserve">Az </w:t>
      </w:r>
      <w:r>
        <w:rPr>
          <w:rStyle w:val="Egyiksem"/>
          <w:noProof/>
          <w:lang w:val="hu-HU"/>
        </w:rPr>
        <w:t>Adatkezelő a</w:t>
      </w:r>
      <w:r>
        <w:rPr>
          <w:rStyle w:val="Egyiksem"/>
          <w:bCs/>
          <w:noProof/>
          <w:lang w:val="hu-HU"/>
        </w:rPr>
        <w:t xml:space="preserve"> beiratkozás során kiállított számlákkal összefüggő</w:t>
      </w:r>
      <w:r>
        <w:rPr>
          <w:rStyle w:val="Egyiksem"/>
          <w:noProof/>
          <w:lang w:val="hu-HU"/>
        </w:rPr>
        <w:t xml:space="preserve"> adatokat</w:t>
      </w:r>
      <w:r>
        <w:rPr>
          <w:rStyle w:val="Egyiksem"/>
          <w:bCs/>
          <w:noProof/>
          <w:lang w:val="hu-HU"/>
        </w:rPr>
        <w:t xml:space="preserve"> </w:t>
      </w:r>
      <w:r>
        <w:rPr>
          <w:rStyle w:val="Egyiksem"/>
          <w:noProof/>
          <w:lang w:val="hu-HU"/>
        </w:rPr>
        <w:t>a számvitelről szóló 2000. évi C. törvény alapján legalább nyolc évig köteles visszakereshető módon megőrizni</w:t>
      </w:r>
      <w:r>
        <w:rPr>
          <w:rStyle w:val="Egyiksem"/>
        </w:rPr>
        <w:t>.</w:t>
      </w:r>
      <w:r>
        <w:rPr>
          <w:rStyle w:val="Egyiksem"/>
          <w:bCs/>
        </w:rPr>
        <w:t xml:space="preserve"> </w:t>
      </w:r>
    </w:p>
    <w:p w:rsidR="005D033E" w:rsidRDefault="005D033E" w:rsidP="005D033E">
      <w:pPr>
        <w:jc w:val="both"/>
      </w:pPr>
    </w:p>
    <w:p w:rsidR="005D033E" w:rsidRDefault="005D033E" w:rsidP="005D033E">
      <w:pPr>
        <w:pStyle w:val="Listaszerbekezds"/>
        <w:numPr>
          <w:ilvl w:val="0"/>
          <w:numId w:val="2"/>
        </w:numPr>
        <w:spacing w:line="256" w:lineRule="auto"/>
        <w:jc w:val="both"/>
        <w:rPr>
          <w:b/>
        </w:rPr>
      </w:pPr>
      <w:r>
        <w:rPr>
          <w:b/>
        </w:rPr>
        <w:t xml:space="preserve">Az adatokhoz történő hozzáférés az adatkezelőnél, az adatbiztonsági intézkedések és az adattovábbítás </w:t>
      </w:r>
    </w:p>
    <w:p w:rsidR="005D033E" w:rsidRDefault="005D033E" w:rsidP="005D033E">
      <w:pPr>
        <w:jc w:val="both"/>
        <w:rPr>
          <w:b/>
        </w:rPr>
      </w:pPr>
    </w:p>
    <w:p w:rsidR="005D033E" w:rsidRDefault="005D033E" w:rsidP="005D033E">
      <w:pPr>
        <w:jc w:val="both"/>
      </w:pPr>
      <w:r>
        <w:t xml:space="preserve">Az Érintettek által megadott személyes adatok kezelésére kizárólag a Könyvtár munkatársai jogosultak, feladatkörükben eljárva, feladataik ellátása érdekében. Így különösen a könyvtári beiratkozással foglalkozó munkatársak férhetnek hozzá a megadott személyes adatokhoz. </w:t>
      </w:r>
    </w:p>
    <w:p w:rsidR="005D033E" w:rsidRDefault="005D033E" w:rsidP="005D033E">
      <w:pPr>
        <w:jc w:val="both"/>
      </w:pPr>
    </w:p>
    <w:p w:rsidR="005D033E" w:rsidRDefault="005D033E" w:rsidP="005D033E">
      <w:pPr>
        <w:jc w:val="both"/>
      </w:pPr>
      <w:r>
        <w:t>A Könyvtár a személyes adatokat a legnagyobb körültekintéssel, szigorúan bizalmasan, kizárólag a szolgáltatások igénybevételéhez szükséges mértékben kezeli, azokat harmadik személynek nem adja át. A Könyvtár a személyes adatokat az Igazgatóság székhelyén tárolja, a személyes adatok tárolásához vagy feldolgozásához más cég szolgáltatásait nem veszi igénybe.</w:t>
      </w:r>
    </w:p>
    <w:p w:rsidR="005D033E" w:rsidRDefault="005D033E" w:rsidP="005D033E">
      <w:pPr>
        <w:jc w:val="both"/>
      </w:pPr>
    </w:p>
    <w:p w:rsidR="005D033E" w:rsidRDefault="005D033E" w:rsidP="005D033E">
      <w:pPr>
        <w:pStyle w:val="Listaszerbekezd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56" w:lineRule="auto"/>
        <w:ind w:left="0" w:firstLine="0"/>
        <w:rPr>
          <w:b/>
        </w:rPr>
      </w:pPr>
      <w:r>
        <w:rPr>
          <w:b/>
        </w:rPr>
        <w:t xml:space="preserve">Az Érintettek adatvédelmi jogai és jogorvoslati lehetőségei </w:t>
      </w:r>
    </w:p>
    <w:p w:rsidR="005D033E" w:rsidRDefault="005D033E" w:rsidP="005D033E">
      <w:pPr>
        <w:jc w:val="both"/>
        <w:rPr>
          <w:rStyle w:val="Egyiksem"/>
          <w:bCs/>
          <w:lang w:val="en-US"/>
        </w:rPr>
      </w:pPr>
    </w:p>
    <w:p w:rsidR="005D033E" w:rsidRDefault="005D033E" w:rsidP="005D033E">
      <w:pPr>
        <w:jc w:val="both"/>
        <w:rPr>
          <w:rStyle w:val="Egyiksem"/>
          <w:b/>
          <w:bCs/>
          <w:noProof/>
        </w:rPr>
      </w:pPr>
      <w:r>
        <w:rPr>
          <w:rStyle w:val="Egyiksem"/>
          <w:b/>
          <w:bCs/>
        </w:rPr>
        <w:t>4</w:t>
      </w:r>
      <w:r>
        <w:rPr>
          <w:rStyle w:val="Egyiksem"/>
          <w:b/>
          <w:bCs/>
          <w:noProof/>
        </w:rPr>
        <w:t xml:space="preserve">.1. Adatvédelmi jogok és jogorvoslatok </w:t>
      </w:r>
    </w:p>
    <w:p w:rsidR="005D033E" w:rsidRDefault="005D033E" w:rsidP="005D033E">
      <w:pPr>
        <w:jc w:val="both"/>
        <w:rPr>
          <w:rStyle w:val="Egyiksem"/>
          <w:noProof/>
        </w:rPr>
      </w:pPr>
    </w:p>
    <w:p w:rsidR="005D033E" w:rsidRDefault="005D033E" w:rsidP="005D033E">
      <w:pPr>
        <w:jc w:val="both"/>
        <w:rPr>
          <w:rStyle w:val="Egyiksem"/>
          <w:noProof/>
        </w:rPr>
      </w:pPr>
      <w:r>
        <w:rPr>
          <w:rStyle w:val="Egyiksem"/>
          <w:noProof/>
        </w:rPr>
        <w:t>Az Érintettek adatvédelmi jogait és jogorvoslati lehetőségeit részletesen a Rendelet vonatkozó rendelkezései tartalmazzák. Az alábbiakban az Adatkezelő ennek megfelelően nyújt tájékoztatást az Érintettek részére az adatkezeléssel kapcsolatos jogaikról és jogorvoslati lehetőségeikről.</w:t>
      </w:r>
    </w:p>
    <w:p w:rsidR="005D033E" w:rsidRDefault="005D033E" w:rsidP="005D033E">
      <w:pPr>
        <w:jc w:val="both"/>
        <w:rPr>
          <w:rStyle w:val="Egyiksem"/>
          <w:noProof/>
        </w:rPr>
      </w:pPr>
    </w:p>
    <w:p w:rsidR="005D033E" w:rsidRDefault="005D033E" w:rsidP="005D033E">
      <w:pPr>
        <w:jc w:val="both"/>
        <w:rPr>
          <w:rStyle w:val="Egyiksem"/>
          <w:noProof/>
        </w:rPr>
      </w:pPr>
      <w:r>
        <w:rPr>
          <w:rStyle w:val="Egyiksem"/>
          <w:noProof/>
        </w:rPr>
        <w:t>Az Adatkezelő indokolatlan késedelem nélkül, de mindenféleképpen az Érintett joggyakorlással kapcsolatos kérelmének beérkezésétől számított egy hónapon belül tájékoztatja az Érintettet a kérelme nyomán hozott intézkedésekről. Szükség esetén ez a határidő további két hónappal meghosszabbítható. A határidő meghosszabbításáról az Adatkezelő a késedelem okainak megjelölésével, a kérelem kézhezvételétől számított egy hónapon belül tájékoztatja az Érintettet.</w:t>
      </w:r>
    </w:p>
    <w:p w:rsidR="005D033E" w:rsidRDefault="005D033E" w:rsidP="005D033E">
      <w:pPr>
        <w:jc w:val="both"/>
        <w:rPr>
          <w:rStyle w:val="Egyiksem"/>
          <w:noProof/>
        </w:rPr>
      </w:pPr>
    </w:p>
    <w:p w:rsidR="005D033E" w:rsidRDefault="005D033E" w:rsidP="005D033E">
      <w:pPr>
        <w:jc w:val="both"/>
        <w:rPr>
          <w:rStyle w:val="Egyiksem"/>
          <w:noProof/>
        </w:rPr>
      </w:pPr>
      <w:r>
        <w:rPr>
          <w:rStyle w:val="Egyiksem"/>
          <w:noProof/>
        </w:rPr>
        <w:t>Az információkat írásban vagy más módon – ideértve adott esetben az elektronikus utat is – kell megadni. Az Érintett kérésére szóbeli tájékoztatás is adható, feltéve, hogy más módon igazolták az Érintett személyazonosságát. Ha az Érintett elektronikus úton nyújtotta be a kérelmet, a tájékoztatást lehetőség szerint elektronikus úton kell megadni, kivéve, ha azt másként kéri.</w:t>
      </w:r>
    </w:p>
    <w:p w:rsidR="005D033E" w:rsidRDefault="005D033E" w:rsidP="005D033E">
      <w:pPr>
        <w:jc w:val="both"/>
        <w:rPr>
          <w:rStyle w:val="Egyiksem"/>
          <w:noProof/>
        </w:rPr>
      </w:pPr>
      <w:r>
        <w:rPr>
          <w:rStyle w:val="Egyiksem"/>
          <w:noProof/>
        </w:rPr>
        <w:t>Ha az Adatkezelő nem tesz intézkedéseket az Érintett kérelme nyomán, késedelem nélkül, de legkésőbb a kérelem beérkezésétől számított egy hónapon belül tájékoztatja az Érintettet az intézkedés elmaradásának okairól, valamint arról, hogy panaszt nyújthat be valamely felügyeleti hatóságnál, és élhet bírósági jogorvoslati jogával.</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Style w:val="Egyiksem"/>
          <w:rFonts w:ascii="Times New Roman" w:eastAsia="Times New Roman" w:hAnsi="Times New Roman" w:cs="Times New Roman"/>
          <w:noProof/>
          <w:shd w:val="clear" w:color="auto" w:fill="FFFFFF"/>
          <w:lang w:val="hu-HU"/>
        </w:rPr>
      </w:pPr>
      <w:r>
        <w:rPr>
          <w:rStyle w:val="Egyiksem"/>
          <w:noProof/>
          <w:lang w:val="hu-HU"/>
        </w:rPr>
        <w:t xml:space="preserve">A 14-18 életév közötti, korlátozottan cselekvőképes természetes személyek által benyújtott kérelmeket Adatkezelő csak abban az esetben teljesíti, ha a kérelmet a szülő/törvényes képviselő írásban jóváhagyja és hozzájárul a kérelemben foglaltak teljesítéséhez vagy, ha a szülő/törvényes képviselő és gyermek közös kérelmet terjesztenek elő.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lastRenderedPageBreak/>
        <w:t>Az Érintett jogait érvényesíteni nem tudja, ha Adatkezelő bizonyítja, hogy nincs abban a helyzetben, hogy azonosítsa az Érintettet. Ha az Érintett kérelme egyértelműen megalapozatlan vagy túlzó (különösen az ismétlődő jellegre figyelemmel) Adatkezelő a kérelem teljesítéséért észszerű mértékű díjat számíthat fel vagy megtagadhatja az intézkedést. Ennek bizonyítása Adatkezelőt terheli. Ha Adatkezelő részéről kétség merül fel a kérelmet benyújtó természetes személy kilétével kapcsolatban, további, a kérelmező személyazonosságának megerősítéséhez szükséges információk nyújtását kérheti.</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b/>
          <w:noProof/>
          <w:lang w:val="hu-HU"/>
        </w:rPr>
      </w:pPr>
      <w:r>
        <w:rPr>
          <w:rStyle w:val="Egyiksem"/>
          <w:b/>
          <w:noProof/>
          <w:lang w:val="hu-HU"/>
        </w:rPr>
        <w:t xml:space="preserve">4.2. Az Érintett tájékoztatási és hozzáférési joga </w:t>
      </w:r>
    </w:p>
    <w:p w:rsidR="005D033E" w:rsidRDefault="005D033E" w:rsidP="005D033E">
      <w:pPr>
        <w:jc w:val="both"/>
        <w:rPr>
          <w:rStyle w:val="Egyiksem"/>
          <w:noProof/>
        </w:rPr>
      </w:pPr>
    </w:p>
    <w:p w:rsidR="005D033E" w:rsidRDefault="005D033E" w:rsidP="005D033E">
      <w:pPr>
        <w:jc w:val="both"/>
        <w:rPr>
          <w:rStyle w:val="Egyiksem"/>
          <w:noProof/>
        </w:rPr>
      </w:pPr>
      <w:r>
        <w:rPr>
          <w:rStyle w:val="Egyiksem"/>
          <w:noProof/>
        </w:rPr>
        <w:t>Az Érintett jogosult arra, hogy visszajelzést kapjon az Adatkezelőtől arra vonatkozóan, hogy személyes adatainak kezelése folyamatban van-e. Ha ilyen adatkezelés folyamatban van, az Érintett jogosult arra, hogy a személyes adatokhoz és a következő információkhoz hozzáférést kapjon:</w:t>
      </w:r>
    </w:p>
    <w:p w:rsidR="005D033E" w:rsidRDefault="005D033E" w:rsidP="005D033E">
      <w:pPr>
        <w:jc w:val="both"/>
        <w:rPr>
          <w:rStyle w:val="Egyiksem"/>
          <w:noProof/>
        </w:rPr>
      </w:pPr>
      <w:r>
        <w:rPr>
          <w:rStyle w:val="Egyiksem"/>
          <w:noProof/>
        </w:rPr>
        <w:t>- az adatkezelés céljai;</w:t>
      </w:r>
    </w:p>
    <w:p w:rsidR="005D033E" w:rsidRDefault="005D033E" w:rsidP="005D033E">
      <w:pPr>
        <w:jc w:val="both"/>
        <w:rPr>
          <w:rStyle w:val="Egyiksem"/>
          <w:noProof/>
        </w:rPr>
      </w:pPr>
      <w:r>
        <w:rPr>
          <w:rStyle w:val="Egyiksem"/>
          <w:noProof/>
        </w:rPr>
        <w:t>- személyes adatok kategóriái;</w:t>
      </w:r>
    </w:p>
    <w:p w:rsidR="005D033E" w:rsidRDefault="005D033E" w:rsidP="005D033E">
      <w:pPr>
        <w:jc w:val="both"/>
        <w:rPr>
          <w:rStyle w:val="Egyiksem"/>
          <w:noProof/>
        </w:rPr>
      </w:pPr>
      <w:r>
        <w:rPr>
          <w:rStyle w:val="Egyiksem"/>
          <w:noProof/>
        </w:rPr>
        <w:t>- azon címzettek vagy címzettek kategóriái, akikkel a személyes adatokat az Adatkezelő  közölte vagy közölni fogja;</w:t>
      </w:r>
    </w:p>
    <w:p w:rsidR="005D033E" w:rsidRDefault="005D033E" w:rsidP="005D033E">
      <w:pPr>
        <w:jc w:val="both"/>
        <w:rPr>
          <w:rStyle w:val="Egyiksem"/>
          <w:noProof/>
        </w:rPr>
      </w:pPr>
      <w:r>
        <w:rPr>
          <w:rStyle w:val="Egyiksem"/>
          <w:noProof/>
        </w:rPr>
        <w:t>- a személyes adatok tárolásának tervezett időtartama, vagy ha ez nem lehetséges, ezen időtartam meghatározásának szempontjai;</w:t>
      </w:r>
    </w:p>
    <w:p w:rsidR="005D033E" w:rsidRDefault="005D033E" w:rsidP="005D033E">
      <w:pPr>
        <w:jc w:val="both"/>
        <w:rPr>
          <w:rStyle w:val="Egyiksem"/>
          <w:noProof/>
        </w:rPr>
      </w:pPr>
      <w:r>
        <w:rPr>
          <w:rStyle w:val="Egyiksem"/>
          <w:noProof/>
        </w:rPr>
        <w:t>- az Érintett arra vonatkozó joga, hogy kérelmezheti az Adatkezelőnél a rá vonatkozó személyes adatok helyesbítését, törlését vagy kezelésének korlátozását, és tiltakozhat az ilyen személyes adatok kezelése ellen;</w:t>
      </w:r>
    </w:p>
    <w:p w:rsidR="005D033E" w:rsidRDefault="005D033E" w:rsidP="005D033E">
      <w:pPr>
        <w:jc w:val="both"/>
        <w:rPr>
          <w:rStyle w:val="Egyiksem"/>
          <w:noProof/>
        </w:rPr>
      </w:pPr>
      <w:r>
        <w:rPr>
          <w:rStyle w:val="Egyiksem"/>
          <w:noProof/>
        </w:rPr>
        <w:t>- valamely felügyeleti hatósághoz címzett panasz benyújtásának joga.</w:t>
      </w:r>
    </w:p>
    <w:p w:rsidR="005D033E" w:rsidRDefault="005D033E" w:rsidP="005D033E">
      <w:pPr>
        <w:ind w:firstLine="708"/>
        <w:jc w:val="both"/>
        <w:rPr>
          <w:rStyle w:val="Egyiksem"/>
          <w:noProof/>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ascii="Times New Roman" w:hAnsi="Times New Roman" w:cs="Times New Roman"/>
          <w:b/>
          <w:bCs/>
          <w:noProof/>
          <w:shd w:val="clear" w:color="auto" w:fill="FFFFFF"/>
          <w:lang w:val="hu-HU"/>
        </w:rPr>
      </w:pPr>
      <w:r>
        <w:rPr>
          <w:rStyle w:val="Egyiksem"/>
          <w:b/>
          <w:bCs/>
          <w:noProof/>
          <w:lang w:val="hu-HU"/>
        </w:rPr>
        <w:t xml:space="preserve">4.3. Kezelt személyes adatok helyesbítéséhez, kiegészítéséhez való jog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Az Érintett személy az 1. pontban rögzített elérhetőségeken keresztül jogosult arra, kérelmezze, az Igazgatóság késedelem nélkül helyesbítse a pontatlan személyes adatokat, továbbá kérje  hiányos adatainak a kiegészítését.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b/>
          <w:bCs/>
          <w:noProof/>
          <w:lang w:val="hu-HU"/>
        </w:rPr>
      </w:pPr>
      <w:r>
        <w:rPr>
          <w:rStyle w:val="Egyiksem"/>
          <w:b/>
          <w:bCs/>
          <w:noProof/>
          <w:lang w:val="hu-HU"/>
        </w:rPr>
        <w:t>4.4. A törléshez való jog („az elfeledtetéshez való jog”)</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 Könyvtárba beiratkoztt személyek bármikor kérhetik, hogy a kezelt személyes adataik törlésre kerüljenek, amennyiben az nem sérti az Adatkezelő jogos érdekét (például kártérítési eljárás kezdeményezéshez való jogát), vagy ennek nincs jogszabályi akadálya (például a beiratkozásra vonatkozó adatok a vonatkozó jogszabály alapján öt évig, a könyvtári tagság befizetése kapcsán kiállított számla nyolc évig megőrzendő). A személyes adatok törlésének következtében megszűnik az Érintett könyvtári tagsági státusza, ezt követően nem jogosult a Könyvtár használatára.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b/>
          <w:bCs/>
          <w:noProof/>
          <w:lang w:val="hu-HU"/>
        </w:rPr>
      </w:pPr>
      <w:r>
        <w:rPr>
          <w:rStyle w:val="Egyiksem"/>
          <w:b/>
          <w:bCs/>
          <w:noProof/>
          <w:lang w:val="hu-HU"/>
        </w:rPr>
        <w:t xml:space="preserve">4.5. Az adatkezelés korlátozáshoz való jog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r>
        <w:rPr>
          <w:rStyle w:val="Egyiksem"/>
          <w:noProof/>
          <w:lang w:val="hu-HU"/>
        </w:rPr>
        <w:t>Az Érintett személy kérheti Adatkezelőtől adatai kezelésének korlátozását, ha az alábbiak valamelyike teljesül:</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 vitatja a személyes adatok pontosságát, ez esetben a korlátozás arra az időtartamra vonatkozik, amely lehetővé teszi, hogy Adatkezelő ellenőrizze a személyes adatok pontosságát,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 az adatkezelés jogellenes, és az Érintett személy ellenzi az adatok törlését, és ehelyett kéri azok felhasználásának korlátozását,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lastRenderedPageBreak/>
        <w:t xml:space="preserve">- Adatkezelőnek már nincs szüksége a személyes adatokra adatkezelés céljából, de az Érintett személy igényli azokat jogi igények előterjesztéséhez, érvényesítéséhez vagy védelméhez,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shd w:val="clear" w:color="auto" w:fill="FFFFFF"/>
          <w:lang w:val="hu-HU"/>
        </w:rPr>
      </w:pPr>
      <w:r>
        <w:rPr>
          <w:rStyle w:val="Egyiksem"/>
          <w:noProof/>
          <w:lang w:val="hu-HU"/>
        </w:rPr>
        <w:t xml:space="preserve">- az Érintett személy tiltakozik az adatkezelés ellen: ez esetben a korlátozás arra az időtartamra vonatkozik, amíg megállapításra nem kerül, hogy Adatkezelő jogos indokai elsőbbséget élveznek-e az Érintett jogos indokaival szemben.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shd w:val="clear" w:color="auto" w:fill="FFFFFF"/>
          <w:lang w:val="hu-HU"/>
        </w:rPr>
      </w:pPr>
      <w:r>
        <w:rPr>
          <w:rStyle w:val="Egyiksem"/>
          <w:noProof/>
          <w:lang w:val="hu-HU"/>
        </w:rPr>
        <w:t xml:space="preserve">Korlátozással érintett személyes adatokat a tárolás kivételével csak az Érintett személy hozzájárulásával, vagy jogi igények előterjesztéséhez, érvényesítéséhez vagy védelméhez, vagy más természetes vagy jogi személy jogainak védelme érdekében, vagy az Unió, illetve valamely tagállam fontos közérdekéből lehet ez idő alatt kezelni. Adatkezelő az Érintett személyt, akinek kérelmére korlátozta az adatkezelést, az adatkezelés korlátozásának feloldásáról előzetesen tájékoztatja.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rPr>
          <w:rStyle w:val="Egyiksem"/>
          <w:noProof/>
          <w:lang w:val="hu-HU"/>
        </w:rPr>
      </w:pPr>
      <w:r>
        <w:rPr>
          <w:rStyle w:val="Egyiksem"/>
          <w:b/>
          <w:bCs/>
          <w:noProof/>
          <w:lang w:val="hu-HU"/>
        </w:rPr>
        <w:t>4.6. Az adathordozhatósághoz való jog</w:t>
      </w:r>
      <w:r>
        <w:rPr>
          <w:rStyle w:val="Egyiksem"/>
          <w:noProof/>
          <w:lang w:val="hu-HU"/>
        </w:rPr>
        <w:t xml:space="preserve">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r>
        <w:rPr>
          <w:rStyle w:val="Egyiksem"/>
          <w:noProof/>
          <w:lang w:val="hu-HU"/>
        </w:rPr>
        <w:t xml:space="preserve">Az Érintett személy – a Rendeletben meghatározott feltételekkel – jogosult megkapni és felhasználni az Adatkezelő rendszerében megtalálható, és az Érintett által közvetlenül megadott adatait saját céljaira, az általa meghatározott különböző szolgáltatókon keresztül. Minden esetben az Érintett személy által átadott adatokra korlátozódik a jogosultság, egyéb adatok hordozhatóságára lehetőség nincs. (pl. statisztikai adatok stb.)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Az Érintett személy a rá vonatkozó, Adtakezelő rendszerében megtalálható személyes adatokat: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 tagolt, széles körben használt, géppel olvasható formátumban megkaphatja,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jogosult más adatkezelőhöz továbbítani,</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shd w:val="clear" w:color="auto" w:fill="FFFFFF"/>
          <w:lang w:val="hu-HU"/>
        </w:rPr>
      </w:pPr>
      <w:r>
        <w:rPr>
          <w:rStyle w:val="Egyiksem"/>
          <w:noProof/>
          <w:lang w:val="hu-HU"/>
        </w:rPr>
        <w:t xml:space="preserve">- kérheti az adatok közvetlen továbbítását a másik adatkezelőhöz – ha ez technikailag megvalósítható  az Adatkezelő rendszerében.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br/>
        <w:t xml:space="preserve">Adatkezelő az adathordozhatóságra vonatkozó kérelmet kizárólag e-mailben vagy postai úton írt kérelem alapján teljesíti. A kérelem teljesítéséhez szükséges, hogy Adatkezelő meggyőződjön arról, hogy valóban az arra jogosult Érintett személy kíván élni e jogával. Ehhez szükséges, hogy az Érintett személyesen Adatkezelő székhelyén megjelenjen a jelzést követően annak érdekében, hogy az Adatkezelő be tudja azonosítani az Érintettet a rendszerében lévő adatok felhasználása tekintetében. Az Érintett személy e jog keretében azon adatok hordozhatóságát igényelheti, melyet saját maga adott meg a Adatkezelő részére, tehát olyan adatokra nem terjed ki, amely a megadott adatok felhasználásával képződött Adatkezelőnél.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b/>
          <w:bCs/>
          <w:noProof/>
          <w:lang w:val="hu-HU"/>
        </w:rPr>
      </w:pPr>
      <w:r>
        <w:rPr>
          <w:rStyle w:val="Egyiksem"/>
          <w:b/>
          <w:bCs/>
          <w:noProof/>
          <w:lang w:val="hu-HU"/>
        </w:rPr>
        <w:t xml:space="preserve">4.7. Tiltakozás személyes adatok kezelése ellen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shd w:val="clear" w:color="auto" w:fill="FFFFFF"/>
          <w:lang w:val="hu-HU"/>
        </w:rPr>
      </w:pPr>
      <w:r>
        <w:rPr>
          <w:rStyle w:val="Egyiksem"/>
          <w:noProof/>
          <w:lang w:val="hu-HU"/>
        </w:rPr>
        <w:t>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Az Adatkezelő jogos indoka jelen Tájékoztatónak az adatkezelés céljára és jogalapjára vonatkozó részeiben részletezésre került.</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lastRenderedPageBreak/>
        <w:t>Ha a személyes adatok kezelésére tudományos kutatási célból vagy statisztikai célból kerül sor, az Érintett jogosult arra, hogy a saját helyzetével kapcsolatos okokból tiltakozhasson az Érintettre vonatkozó személyes adatok kezelése ellen, kivéve, ha az adatkezelésre közérdekű okból végzett feladat végrehajtása érdekében van szükség.</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b/>
          <w:bCs/>
          <w:noProof/>
          <w:lang w:val="hu-HU"/>
        </w:rPr>
      </w:pPr>
      <w:r>
        <w:rPr>
          <w:rStyle w:val="Egyiksem"/>
          <w:b/>
          <w:bCs/>
          <w:noProof/>
          <w:lang w:val="hu-HU"/>
        </w:rPr>
        <w:t>4.8. A felügyeleti hatóságnál történő panasztételhez való jog</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Az Érintett jogosult arra, hogy panaszt tegyen egy felügyeleti hatóságnál – különösen a szokásos tartózkodási helye, a munkahelye vagy a feltételezett jogsértés helye szerinti tagállamban –, ha megítélése szerint a vonatkozó személyes adatok kezelése megsérti a Rendelet rendelkezéseit. Magyarországon az illetékes felügyeleti hatóság: Nemzeti Adatvédelmi és Információszabadság Hatóság (weboldal: http://naih.hu/; cím: 1055 Budapest, Falk Miksa u. 9-11.; postacím: 1530 Budapest, Pf.: 5.; telefon: +36-1-391-1400; fax: +36-1-391-1410; e-mail: </w:t>
      </w:r>
      <w:hyperlink r:id="rId6" w:history="1">
        <w:r>
          <w:rPr>
            <w:rStyle w:val="Hiperhivatkozs"/>
            <w:rFonts w:ascii="Times New Roman" w:hAnsi="Times New Roman" w:cs="Times New Roman"/>
            <w:noProof/>
            <w:shd w:val="clear" w:color="auto" w:fill="FFFFFF"/>
            <w:lang w:val="hu-HU"/>
          </w:rPr>
          <w:t>ugyfelszolgalat@naih.hu</w:t>
        </w:r>
      </w:hyperlink>
      <w:r>
        <w:rPr>
          <w:rStyle w:val="Egyiksem"/>
          <w:noProof/>
          <w:lang w:val="hu-HU"/>
        </w:rPr>
        <w:t>).</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b/>
          <w:bCs/>
          <w:noProof/>
          <w:lang w:val="hu-HU"/>
        </w:rPr>
      </w:pPr>
      <w:r>
        <w:rPr>
          <w:rStyle w:val="Egyiksem"/>
          <w:b/>
          <w:bCs/>
          <w:noProof/>
          <w:lang w:val="hu-HU"/>
        </w:rPr>
        <w:t>4.9. A felügyeleti hatósággal szembeni hatékony bírósági jogorvoslathoz való jog</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Az Érintett jogosult a hatékony bírósági jogorvoslatra a felügyeleti hatóság Érintettre vonatkozó, jogilag kötelező erejű döntésével szemben.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Az Érintett jogosult a hatékony bírósági jogorvoslatra, ha az illetékes felügyeleti hatóság nem foglalkozik a panasszal, vagy három hónapon belül nem tájékoztatja az Érintettet a benyújtott panasszal kapcsolatos eljárási fejleményekről vagy annak eredményéről. A felügyeleti hatósággal szembeni eljárást a felügyeleti hatóság székhelye szerinti tagállam bírósága előtt kell megindítani.</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40" w:line="240" w:lineRule="auto"/>
        <w:jc w:val="both"/>
        <w:rPr>
          <w:rStyle w:val="Egyiksem"/>
          <w:b/>
          <w:bCs/>
          <w:noProof/>
          <w:lang w:val="hu-HU"/>
        </w:rPr>
      </w:pPr>
      <w:r>
        <w:rPr>
          <w:rStyle w:val="Egyiksem"/>
          <w:b/>
          <w:bCs/>
          <w:noProof/>
          <w:lang w:val="hu-HU"/>
        </w:rPr>
        <w:t>4.10. Az Adatkezelővel szembeni hatékony bírósági jogorvoslathoz való jog</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40" w:line="240" w:lineRule="auto"/>
        <w:jc w:val="both"/>
        <w:rPr>
          <w:rStyle w:val="Egyiksem"/>
          <w:noProof/>
          <w:lang w:val="hu-HU"/>
        </w:rPr>
      </w:pPr>
      <w:r>
        <w:rPr>
          <w:rStyle w:val="Egyiksem"/>
          <w:noProof/>
          <w:lang w:val="hu-HU"/>
        </w:rPr>
        <w:t>Az Érintett a rendelkezésre álló közigazgatási vagy nem bírósági útra tartozó jogorvoslatok – köztük a felügyeleti hatóságnál történő panasztételhez való jog – sérelme nélkül hatékony bírósági jogorvoslatra jogosult, ha megítélése szerint a személyes adatainak a nem megfelelő kezelése következtében megsértették a Rendelet szerinti jogait.</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40" w:line="240" w:lineRule="auto"/>
        <w:jc w:val="both"/>
        <w:rPr>
          <w:rStyle w:val="Egyiksem"/>
          <w:noProof/>
          <w:lang w:val="hu-HU"/>
        </w:rPr>
      </w:pPr>
      <w:r>
        <w:rPr>
          <w:rStyle w:val="Egyiksem"/>
          <w:noProof/>
          <w:lang w:val="hu-HU"/>
        </w:rPr>
        <w:t xml:space="preserve">Az eljárást az Adatkezelővel vagy más adatfeldolgozóval szemben az Adatkezelő vagy az adatfeldolgozó tevékenységi helye szerinti tagállam bírósága előtt kell megindítani. Az ilyen eljárás megindítható az Érintett szokásos tartózkodási helye szerinti tagállam bírósága előtt is. Magyarországon a pert – az Érintett választása szerint – az Érintett lakóhelye vagy tartózkodási helye szerinti törvényszék előtt is megindíthatja. A bíróság illetékességét és elérhetőségeit a </w:t>
      </w:r>
      <w:hyperlink r:id="rId7" w:history="1">
        <w:r>
          <w:rPr>
            <w:rStyle w:val="Hiperhivatkozs"/>
            <w:rFonts w:ascii="Times New Roman" w:hAnsi="Times New Roman" w:cs="Times New Roman"/>
            <w:noProof/>
            <w:color w:val="0563C1"/>
            <w:u w:color="0563C1"/>
            <w:shd w:val="clear" w:color="auto" w:fill="FFFFFF"/>
            <w:lang w:val="hu-HU"/>
          </w:rPr>
          <w:t>www.birosag.hu</w:t>
        </w:r>
      </w:hyperlink>
      <w:r>
        <w:rPr>
          <w:rStyle w:val="Egyiksem"/>
          <w:noProof/>
          <w:lang w:val="hu-HU"/>
        </w:rPr>
        <w:t xml:space="preserve"> weboldal tartalmazza.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ind w:left="378" w:hanging="378"/>
        <w:jc w:val="both"/>
        <w:rPr>
          <w:rStyle w:val="Egyiksem"/>
          <w:noProof/>
          <w:lang w:val="hu-HU"/>
        </w:rPr>
      </w:pPr>
      <w:r>
        <w:rPr>
          <w:rStyle w:val="Egyiksem"/>
          <w:noProof/>
          <w:lang w:val="hu-HU"/>
        </w:rPr>
        <w:t>Az Érintett a perben kártérítést/sérelemdíjat</w:t>
      </w:r>
      <w:r>
        <w:rPr>
          <w:rStyle w:val="Egyiksem"/>
          <w:noProof/>
          <w:color w:val="333333"/>
          <w:lang w:val="hu-HU"/>
        </w:rPr>
        <w:t xml:space="preserve"> k</w:t>
      </w:r>
      <w:r>
        <w:rPr>
          <w:rStyle w:val="Egyiksem"/>
          <w:noProof/>
          <w:lang w:val="hu-HU"/>
        </w:rPr>
        <w:t>övetelhet az Adatkezelőtől:</w:t>
      </w:r>
    </w:p>
    <w:p w:rsidR="005D033E" w:rsidRDefault="005D033E" w:rsidP="005D033E">
      <w:pPr>
        <w:pStyle w:val="AlaprtelmezettA"/>
        <w:tabs>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pPr>
      <w:r>
        <w:rPr>
          <w:rStyle w:val="Egyiksem"/>
          <w:noProof/>
          <w:lang w:val="hu-HU"/>
        </w:rPr>
        <w:t>- ha az Adatkezelő az Érintett adatainak jogellenes kezelésével vagy az adatbiztonság követelményeinek megszegésével másnak kárt okoz;</w:t>
      </w:r>
    </w:p>
    <w:p w:rsidR="005D033E" w:rsidRDefault="005D033E" w:rsidP="005D033E">
      <w:pPr>
        <w:pStyle w:val="AlaprtelmezettA"/>
        <w:tabs>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Fonts w:ascii="Times New Roman" w:hAnsi="Times New Roman" w:cs="Times New Roman"/>
          <w:noProof/>
          <w:lang w:val="hu-HU"/>
        </w:rPr>
      </w:pPr>
      <w:r>
        <w:rPr>
          <w:rStyle w:val="Egyiksem"/>
          <w:noProof/>
          <w:lang w:val="hu-HU"/>
        </w:rPr>
        <w:t>- ha az adatkezelő az Érintett adatainak jogellenes kezelésével vagy az adatbiztonság követelményeinek megszegésével megsérti az Érintett személyiségi jogát (pl. személyes adat illetéktelen személlyel való közlése vagy nyilvánosságra hozatala).</w:t>
      </w:r>
    </w:p>
    <w:p w:rsidR="005D033E" w:rsidRDefault="005D033E" w:rsidP="005D033E">
      <w:pPr>
        <w:jc w:val="both"/>
        <w:rPr>
          <w:rStyle w:val="Egyiksem"/>
          <w:shd w:val="clear" w:color="auto" w:fill="FFFFFF"/>
        </w:rPr>
      </w:pPr>
    </w:p>
    <w:p w:rsidR="005D033E" w:rsidRDefault="005D033E" w:rsidP="005D033E">
      <w:pPr>
        <w:jc w:val="both"/>
        <w:rPr>
          <w:rStyle w:val="Egyiksem"/>
          <w:noProof/>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rPr>
          <w:rStyle w:val="Egyiksem"/>
          <w:rFonts w:ascii="Times New Roman" w:hAnsi="Times New Roman" w:cs="Times New Roman"/>
          <w:b/>
          <w:bCs/>
          <w:noProof/>
          <w:lang w:val="hu-HU"/>
        </w:rPr>
      </w:pPr>
      <w:r>
        <w:rPr>
          <w:rStyle w:val="Egyiksem"/>
          <w:b/>
          <w:bCs/>
          <w:noProof/>
          <w:lang w:val="hu-HU"/>
        </w:rPr>
        <w:t>5.  Adatvédelmi incidens</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rPr>
          <w:rStyle w:val="Egyiksem"/>
          <w:rFonts w:eastAsia="Times New Roman"/>
          <w:b/>
          <w:bCs/>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Style w:val="Egyiksem"/>
          <w:noProof/>
          <w:lang w:val="hu-HU"/>
        </w:rPr>
      </w:pPr>
      <w:r>
        <w:rPr>
          <w:rStyle w:val="Egyiksem"/>
          <w:noProof/>
          <w:lang w:val="hu-HU"/>
        </w:rPr>
        <w:lastRenderedPageBreak/>
        <w:t xml:space="preserve">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(pl. hecker támadás).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Adatkezelő az adatvédelmi incidenssel kapcsolatos intézkedések ellenőrzése, a Nemzeti Adatvédelmi és Információszabadság Hatóság valamint az Érintett tájékoztatása céljából nyilvántartást vezet, amely tartalmazza az incidenssel érintett személyes adatok körét, az érintettek körét, számát, az incidens időpontját, körülményeit, hatásait, az elhárítás érdekében megtett intézkedéseket.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noProof/>
          <w:lang w:val="hu-HU"/>
        </w:rPr>
      </w:pPr>
      <w:r>
        <w:rPr>
          <w:rStyle w:val="Egyiksem"/>
          <w:noProof/>
          <w:lang w:val="hu-HU"/>
        </w:rPr>
        <w:t xml:space="preserve">Adatkezelő egy incidens bekövetkezése esetén – kivéve, ha nem jár kockázattal a természetes személyek jogaira és szabadságaira nézve – indokolatlan késedelem nélkül, de legfeljebb 72 órán belül tájékoztatja az Érintett személyt és a felügyeleti hatóságot az adatvédelmi incidensről.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jc w:val="both"/>
        <w:rPr>
          <w:rStyle w:val="Egyiksem"/>
          <w:rFonts w:eastAsia="Times New Roman"/>
          <w:b/>
          <w:bCs/>
          <w:noProof/>
          <w:lang w:val="hu-HU"/>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rPr>
          <w:rStyle w:val="Egyiksem"/>
          <w:b/>
          <w:bCs/>
          <w:noProof/>
          <w:lang w:val="hu-HU"/>
        </w:rPr>
      </w:pPr>
      <w:r>
        <w:rPr>
          <w:rStyle w:val="Egyiksem"/>
          <w:b/>
          <w:bCs/>
          <w:noProof/>
          <w:lang w:val="hu-HU"/>
        </w:rPr>
        <w:t xml:space="preserve">6. Egyéb rendelkezések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0" w:line="240" w:lineRule="auto"/>
        <w:rPr>
          <w:rStyle w:val="Egyiksem"/>
          <w:rFonts w:eastAsia="Times Roman"/>
          <w:noProof/>
          <w:lang w:val="hu-HU"/>
        </w:rPr>
      </w:pPr>
    </w:p>
    <w:p w:rsidR="005D033E" w:rsidRDefault="005D033E" w:rsidP="005D033E">
      <w:pPr>
        <w:jc w:val="both"/>
        <w:rPr>
          <w:rStyle w:val="Egyiksem"/>
          <w:noProof/>
        </w:rPr>
      </w:pPr>
      <w:r>
        <w:rPr>
          <w:rStyle w:val="Egyiksem"/>
          <w:noProof/>
        </w:rPr>
        <w:t>Az Adatkezelő fenntartja a jogot, hogy a jelen Tájékoztatót egyoldalúan, a módosítást követő hatállyal módosítsa, szükség esetén az Érintettek megfelelő időben történő előzetes tájékoztatásával és figyelemmel, a vonatkozó jogszabályokban foglalt korlátozásokra. A jelen Tájékoztató módosítására különösen abban az esetben kerülhet sor, ha arra jogszabályváltozás, adatvédelmi hatósági gyakorlat, új, személyes adatok kezelésével járó tevékenység, újonnan felfedezett biztonsági kockázat, vagy az Érintettek visszajelzése miatt szükség van.</w:t>
      </w:r>
    </w:p>
    <w:p w:rsidR="005D033E" w:rsidRDefault="005D033E" w:rsidP="005D033E">
      <w:pPr>
        <w:jc w:val="both"/>
        <w:rPr>
          <w:rStyle w:val="Egyiksem"/>
          <w:noProof/>
        </w:rPr>
      </w:pP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40" w:line="240" w:lineRule="auto"/>
        <w:jc w:val="both"/>
        <w:rPr>
          <w:rStyle w:val="Egyiksem"/>
          <w:rFonts w:ascii="Times New Roman" w:eastAsia="Times New Roman" w:hAnsi="Times New Roman" w:cs="Times New Roman"/>
          <w:noProof/>
          <w:shd w:val="clear" w:color="auto" w:fill="FFFFFF"/>
          <w:lang w:val="hu-HU"/>
        </w:rPr>
      </w:pPr>
      <w:r>
        <w:rPr>
          <w:rStyle w:val="Egyiksem"/>
          <w:noProof/>
          <w:lang w:val="hu-HU"/>
        </w:rPr>
        <w:t xml:space="preserve">Adatkezelő a neki megadott személyes adatokat nem ellenőrzi. A megadott adatok megfelelősségéért kizárólag az azt megadó személy felel. </w:t>
      </w:r>
    </w:p>
    <w:p w:rsidR="005D033E" w:rsidRDefault="005D033E" w:rsidP="005D033E">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40" w:line="240" w:lineRule="auto"/>
        <w:jc w:val="both"/>
        <w:rPr>
          <w:rStyle w:val="Egyiksem"/>
          <w:noProof/>
          <w:lang w:val="hu-HU"/>
        </w:rPr>
      </w:pPr>
      <w:r>
        <w:rPr>
          <w:rStyle w:val="Egyiksem"/>
          <w:noProof/>
          <w:lang w:val="hu-HU"/>
        </w:rPr>
        <w:t>A jelen Tájékoztatóban nem meghatározott kérdésekben a Rendelet, az Infotv., valamint az Igazgatóság Adatvédelmi és Adatbiztonsági Szabályzata, továbbá a hatályos jogszabályok rendelkezései az irányadóak.</w:t>
      </w:r>
    </w:p>
    <w:p w:rsidR="005D033E" w:rsidRDefault="005D033E" w:rsidP="005D033E">
      <w:pPr>
        <w:jc w:val="both"/>
        <w:rPr>
          <w:rStyle w:val="Egyiksem"/>
        </w:rPr>
      </w:pPr>
      <w:r>
        <w:rPr>
          <w:rStyle w:val="Egyiksem"/>
        </w:rPr>
        <w:t>Budapest, 2022. november 14.</w:t>
      </w:r>
    </w:p>
    <w:p w:rsidR="005D033E" w:rsidRDefault="005D033E" w:rsidP="005D033E">
      <w:pPr>
        <w:jc w:val="both"/>
        <w:rPr>
          <w:rStyle w:val="Egyiksem"/>
        </w:rPr>
      </w:pPr>
    </w:p>
    <w:p w:rsidR="005D033E" w:rsidRDefault="005D033E" w:rsidP="005D033E">
      <w:pPr>
        <w:jc w:val="both"/>
        <w:rPr>
          <w:rStyle w:val="Egyiksem"/>
        </w:rPr>
      </w:pP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t>……………………………………………</w:t>
      </w:r>
    </w:p>
    <w:p w:rsidR="005D033E" w:rsidRDefault="005D033E" w:rsidP="005D033E">
      <w:pPr>
        <w:jc w:val="both"/>
        <w:rPr>
          <w:rStyle w:val="Egyiksem"/>
        </w:rPr>
      </w:pP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t>Füri András</w:t>
      </w:r>
    </w:p>
    <w:p w:rsidR="005D033E" w:rsidRDefault="005D033E" w:rsidP="005D033E">
      <w:pPr>
        <w:jc w:val="both"/>
        <w:rPr>
          <w:rStyle w:val="Egyiksem"/>
        </w:rPr>
      </w:pP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t xml:space="preserve">  </w:t>
      </w:r>
      <w:proofErr w:type="gramStart"/>
      <w:r>
        <w:rPr>
          <w:rStyle w:val="Egyiksem"/>
        </w:rPr>
        <w:t>igazgat</w:t>
      </w:r>
      <w:r>
        <w:rPr>
          <w:rStyle w:val="Egyiksem"/>
          <w:lang w:val="es-ES_tradnl"/>
        </w:rPr>
        <w:t>ó</w:t>
      </w:r>
      <w:proofErr w:type="gramEnd"/>
    </w:p>
    <w:p w:rsidR="005D033E" w:rsidRDefault="005D033E" w:rsidP="005D033E">
      <w:r>
        <w:rPr>
          <w:rStyle w:val="Egyiksem"/>
        </w:rPr>
        <w:tab/>
      </w:r>
      <w:r>
        <w:rPr>
          <w:rStyle w:val="Egyiksem"/>
        </w:rPr>
        <w:tab/>
      </w:r>
      <w:r>
        <w:rPr>
          <w:rStyle w:val="Egyiksem"/>
        </w:rPr>
        <w:tab/>
      </w:r>
      <w:r>
        <w:rPr>
          <w:rStyle w:val="Egyiksem"/>
        </w:rPr>
        <w:tab/>
      </w:r>
      <w:r>
        <w:rPr>
          <w:rStyle w:val="Egyiksem"/>
        </w:rPr>
        <w:tab/>
      </w:r>
      <w:r>
        <w:rPr>
          <w:rStyle w:val="Egyiksem"/>
        </w:rPr>
        <w:tab/>
      </w:r>
      <w:r>
        <w:rPr>
          <w:rStyle w:val="Egyiksem"/>
        </w:rPr>
        <w:tab/>
        <w:t>Duna-Ipoly Nemzeti Park Igazgat</w:t>
      </w:r>
      <w:r>
        <w:rPr>
          <w:rStyle w:val="Egyiksem"/>
          <w:lang w:val="es-ES_tradnl"/>
        </w:rPr>
        <w:t>ó</w:t>
      </w:r>
      <w:r>
        <w:rPr>
          <w:rStyle w:val="Egyiksem"/>
        </w:rPr>
        <w:t>ság</w:t>
      </w:r>
    </w:p>
    <w:p w:rsidR="00DB041C" w:rsidRDefault="00DB041C">
      <w:bookmarkStart w:id="0" w:name="_GoBack"/>
      <w:bookmarkEnd w:id="0"/>
    </w:p>
    <w:sectPr w:rsidR="00DB0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imes 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BB7"/>
    <w:multiLevelType w:val="multilevel"/>
    <w:tmpl w:val="C4EE7014"/>
    <w:numStyleLink w:val="Szmmaljellt"/>
  </w:abstractNum>
  <w:abstractNum w:abstractNumId="1" w15:restartNumberingAfterBreak="0">
    <w:nsid w:val="50E40CD1"/>
    <w:multiLevelType w:val="hybridMultilevel"/>
    <w:tmpl w:val="C4EE7014"/>
    <w:styleLink w:val="Szmmaljellt"/>
    <w:lvl w:ilvl="0" w:tplc="19E4C26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04988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5C1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C519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22BE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8C575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207B0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25C8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B88EF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23D4F95"/>
    <w:multiLevelType w:val="multilevel"/>
    <w:tmpl w:val="B694CC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53" w:hanging="2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3E"/>
    <w:rsid w:val="005D033E"/>
    <w:rsid w:val="00DB04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91B1F-D1F8-4C35-93A2-321EFC0C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033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D033E"/>
    <w:rPr>
      <w:color w:val="0563C1" w:themeColor="hyperlink"/>
      <w:u w:val="single"/>
    </w:rPr>
  </w:style>
  <w:style w:type="paragraph" w:styleId="Listaszerbekezds">
    <w:name w:val="List Paragraph"/>
    <w:basedOn w:val="Norml"/>
    <w:uiPriority w:val="34"/>
    <w:qFormat/>
    <w:rsid w:val="005D033E"/>
    <w:pPr>
      <w:ind w:left="720"/>
      <w:contextualSpacing/>
    </w:pPr>
  </w:style>
  <w:style w:type="paragraph" w:customStyle="1" w:styleId="AlaprtelmezettA">
    <w:name w:val="Alapértelmezett A"/>
    <w:rsid w:val="005D033E"/>
    <w:pPr>
      <w:spacing w:before="160" w:line="288" w:lineRule="auto"/>
    </w:pPr>
    <w:rPr>
      <w:rFonts w:ascii="Helvetica Neue" w:eastAsia="Arial Unicode MS" w:hAnsi="Helvetica Neue" w:cs="Arial Unicode MS"/>
      <w:color w:val="000000"/>
      <w:sz w:val="24"/>
      <w:szCs w:val="24"/>
      <w:u w:color="000000"/>
      <w:lang w:val="en-US" w:eastAsia="hu-HU"/>
    </w:rPr>
  </w:style>
  <w:style w:type="character" w:customStyle="1" w:styleId="Egyiksem">
    <w:name w:val="Egyik sem"/>
    <w:rsid w:val="005D033E"/>
  </w:style>
  <w:style w:type="character" w:customStyle="1" w:styleId="Hyperlink2">
    <w:name w:val="Hyperlink.2"/>
    <w:basedOn w:val="Egyiksem"/>
    <w:rsid w:val="005D033E"/>
    <w:rPr>
      <w:rFonts w:ascii="Times New Roman" w:eastAsia="Times New Roman" w:hAnsi="Times New Roman" w:cs="Times New Roman" w:hint="default"/>
      <w:outline w:val="0"/>
      <w:shadow w:val="0"/>
      <w:emboss w:val="0"/>
      <w:imprint w:val="0"/>
      <w:color w:val="0563C1"/>
      <w:u w:val="single" w:color="0563C1"/>
      <w:shd w:val="clear" w:color="auto" w:fill="FFFFFF"/>
      <w:lang w:val="en-US"/>
    </w:rPr>
  </w:style>
  <w:style w:type="numbering" w:customStyle="1" w:styleId="Szmmaljellt">
    <w:name w:val="Számmal jelölt"/>
    <w:rsid w:val="005D033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osa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mailto:konyag@dinpi.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18457</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Kálmán Gergely</dc:creator>
  <cp:keywords/>
  <dc:description/>
  <cp:lastModifiedBy>Kálmán Gergely</cp:lastModifiedBy>
  <cp:revision>1</cp:revision>
  <dcterms:created xsi:type="dcterms:W3CDTF">2022-11-28T10:29:00Z</dcterms:created>
  <dcterms:modified xsi:type="dcterms:W3CDTF">2022-11-28T10:29:00Z</dcterms:modified>
</cp:coreProperties>
</file>